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9641" w14:textId="2C87B574" w:rsidR="00317B53" w:rsidRPr="00603231" w:rsidRDefault="00BC011E" w:rsidP="001B7842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</w:pPr>
      <w:r w:rsidRPr="00603231">
        <w:t xml:space="preserve">Improving confidence in the housing sector is a key pillar of the </w:t>
      </w:r>
      <w:r w:rsidRPr="00603231">
        <w:rPr>
          <w:i/>
        </w:rPr>
        <w:t>Queensland Housing Strategy</w:t>
      </w:r>
      <w:r w:rsidR="001E041A" w:rsidRPr="00603231">
        <w:rPr>
          <w:i/>
        </w:rPr>
        <w:t xml:space="preserve"> </w:t>
      </w:r>
      <w:r w:rsidRPr="00603231">
        <w:rPr>
          <w:i/>
        </w:rPr>
        <w:t>2017-2027</w:t>
      </w:r>
      <w:r w:rsidRPr="00603231">
        <w:t>, including by reviewing and modernising the housing legislative framework.</w:t>
      </w:r>
    </w:p>
    <w:p w14:paraId="285C9643" w14:textId="6D48ED64" w:rsidR="00317B53" w:rsidRPr="00603231" w:rsidRDefault="00BC011E" w:rsidP="00057E4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 w:rsidRPr="00603231">
        <w:t>Renting is an increasingly important housing option for many Queenslanders and the Queensland Government undertook extensive consultation in 2018 to identify reform priorities</w:t>
      </w:r>
      <w:r w:rsidR="00B31DC5" w:rsidRPr="00603231">
        <w:t xml:space="preserve"> </w:t>
      </w:r>
      <w:r w:rsidRPr="00603231">
        <w:t>and in 2019 on reform options for immediate priorities.</w:t>
      </w:r>
    </w:p>
    <w:p w14:paraId="285C9645" w14:textId="570221A8" w:rsidR="00317B53" w:rsidRPr="00603231" w:rsidRDefault="00BC011E" w:rsidP="00057E4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 w:rsidRPr="00603231">
        <w:t xml:space="preserve">A review by an independent expert panel of the mandatory payment timeframes under the Queensland Government’s ‘buyback’ laws for retirement villages </w:t>
      </w:r>
      <w:r w:rsidR="000B5563" w:rsidRPr="00603231">
        <w:t xml:space="preserve">recommended that </w:t>
      </w:r>
      <w:r w:rsidRPr="00603231">
        <w:t>the small class of resident-operated retirement villages in Queensland</w:t>
      </w:r>
      <w:r w:rsidR="000B5563" w:rsidRPr="00603231">
        <w:t xml:space="preserve"> be exempted from mandatory buyback requirements</w:t>
      </w:r>
      <w:r w:rsidRPr="00603231">
        <w:t>.</w:t>
      </w:r>
    </w:p>
    <w:p w14:paraId="285C9647" w14:textId="5E4F0B52" w:rsidR="00317B53" w:rsidRPr="00603231" w:rsidRDefault="00BC011E" w:rsidP="00057E4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 w:rsidRPr="00603231">
        <w:rPr>
          <w:u w:val="single"/>
        </w:rPr>
        <w:t>Cabinet approved</w:t>
      </w:r>
      <w:r w:rsidRPr="00603231">
        <w:t xml:space="preserve"> </w:t>
      </w:r>
      <w:r w:rsidR="001255F6" w:rsidRPr="00603231">
        <w:t xml:space="preserve">that </w:t>
      </w:r>
      <w:r w:rsidRPr="00603231">
        <w:t xml:space="preserve">the Housing Legislation Amendment Bill 2021 </w:t>
      </w:r>
      <w:r w:rsidR="001255F6" w:rsidRPr="00603231">
        <w:t>be introduced</w:t>
      </w:r>
      <w:r w:rsidRPr="00603231">
        <w:t xml:space="preserve"> to the Legislative </w:t>
      </w:r>
      <w:r w:rsidR="00DC7801" w:rsidRPr="00603231">
        <w:t>Assembly.</w:t>
      </w:r>
    </w:p>
    <w:p w14:paraId="62080F5A" w14:textId="440C5E19" w:rsidR="00C32719" w:rsidRPr="00603231" w:rsidRDefault="004217A6" w:rsidP="00057E4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rPr>
          <w:lang w:val="en-US"/>
        </w:rPr>
      </w:pPr>
      <w:r w:rsidRPr="00603231">
        <w:rPr>
          <w:u w:val="single"/>
        </w:rPr>
        <w:t>Cabinet approved</w:t>
      </w:r>
      <w:r w:rsidR="00C32719" w:rsidRPr="00603231">
        <w:t xml:space="preserve"> </w:t>
      </w:r>
      <w:r w:rsidR="00C32719" w:rsidRPr="00603231">
        <w:rPr>
          <w:lang w:val="en-US"/>
        </w:rPr>
        <w:t>the Housing Legislation Amendment Bill 2021 be referred to an appropriate Parliamentary Portfolio Committee for consideration</w:t>
      </w:r>
      <w:r w:rsidR="00976A85" w:rsidRPr="00603231">
        <w:rPr>
          <w:lang w:val="en-US"/>
        </w:rPr>
        <w:t>.</w:t>
      </w:r>
    </w:p>
    <w:p w14:paraId="285C964B" w14:textId="5B87848C" w:rsidR="00317B53" w:rsidRPr="00603231" w:rsidRDefault="00BC011E" w:rsidP="00057E4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 w:rsidRPr="00603231">
        <w:rPr>
          <w:u w:val="single"/>
        </w:rPr>
        <w:t>Cabinet approved</w:t>
      </w:r>
      <w:r w:rsidRPr="00603231">
        <w:t xml:space="preserve"> the </w:t>
      </w:r>
      <w:r w:rsidRPr="00603231">
        <w:rPr>
          <w:i/>
        </w:rPr>
        <w:t>Stage 1 Rental Law Reform Decision Regulatory Impact Statement</w:t>
      </w:r>
      <w:r w:rsidR="00DC7801" w:rsidRPr="00603231">
        <w:rPr>
          <w:i/>
        </w:rPr>
        <w:t xml:space="preserve"> </w:t>
      </w:r>
      <w:r w:rsidRPr="00603231">
        <w:t>for public release</w:t>
      </w:r>
      <w:r w:rsidR="00996F68" w:rsidRPr="00603231">
        <w:t>.</w:t>
      </w:r>
    </w:p>
    <w:p w14:paraId="285C964D" w14:textId="19723A4F" w:rsidR="00317B53" w:rsidRPr="00603231" w:rsidRDefault="00BC011E" w:rsidP="00057E4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 w:rsidRPr="00603231">
        <w:rPr>
          <w:u w:val="single"/>
        </w:rPr>
        <w:t>Cabinet noted</w:t>
      </w:r>
      <w:r w:rsidRPr="00603231">
        <w:t xml:space="preserve"> the findings of Deloitte Access Economics analysis of Stage 1 rental law reform economic impacts</w:t>
      </w:r>
      <w:r w:rsidR="00743D62" w:rsidRPr="00603231">
        <w:t xml:space="preserve"> and its public release.</w:t>
      </w:r>
    </w:p>
    <w:p w14:paraId="285C964F" w14:textId="3C375F66" w:rsidR="00317B53" w:rsidRPr="00603231" w:rsidRDefault="00BC011E" w:rsidP="00057E4B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5" w:right="6" w:hanging="425"/>
        <w:rPr>
          <w:i/>
        </w:rPr>
      </w:pPr>
      <w:r w:rsidRPr="00603231">
        <w:rPr>
          <w:i/>
          <w:u w:val="single"/>
        </w:rPr>
        <w:t>Attachments</w:t>
      </w:r>
      <w:r w:rsidR="00F14A89">
        <w:rPr>
          <w:iCs/>
        </w:rPr>
        <w:t>:</w:t>
      </w:r>
    </w:p>
    <w:p w14:paraId="285C9650" w14:textId="3C2E45E8" w:rsidR="00317B53" w:rsidRDefault="000A61B3" w:rsidP="001B7842">
      <w:pPr>
        <w:pStyle w:val="ListParagraph"/>
        <w:numPr>
          <w:ilvl w:val="1"/>
          <w:numId w:val="1"/>
        </w:numPr>
        <w:tabs>
          <w:tab w:val="left" w:pos="851"/>
        </w:tabs>
        <w:spacing w:before="120" w:line="235" w:lineRule="auto"/>
        <w:ind w:left="425" w:right="6" w:firstLine="0"/>
      </w:pPr>
      <w:hyperlink r:id="rId10" w:history="1">
        <w:r w:rsidR="006D7D88" w:rsidRPr="00443E10">
          <w:rPr>
            <w:rStyle w:val="Hyperlink"/>
          </w:rPr>
          <w:t>Housing Legislation Amendment Bill 2021</w:t>
        </w:r>
      </w:hyperlink>
    </w:p>
    <w:p w14:paraId="53864BC0" w14:textId="144ED488" w:rsidR="001B7842" w:rsidRDefault="000A61B3" w:rsidP="001B7842">
      <w:pPr>
        <w:pStyle w:val="ListParagraph"/>
        <w:numPr>
          <w:ilvl w:val="1"/>
          <w:numId w:val="1"/>
        </w:numPr>
        <w:tabs>
          <w:tab w:val="left" w:pos="851"/>
        </w:tabs>
        <w:spacing w:before="120" w:line="235" w:lineRule="auto"/>
        <w:ind w:left="425" w:right="6" w:firstLine="0"/>
      </w:pPr>
      <w:hyperlink r:id="rId11" w:history="1">
        <w:r w:rsidR="001B7842" w:rsidRPr="00443E10">
          <w:rPr>
            <w:rStyle w:val="Hyperlink"/>
          </w:rPr>
          <w:t>Explanatory Notes</w:t>
        </w:r>
      </w:hyperlink>
    </w:p>
    <w:p w14:paraId="285C9652" w14:textId="7F71E68F" w:rsidR="00317B53" w:rsidRPr="00603231" w:rsidRDefault="000A61B3" w:rsidP="001B7842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425" w:right="6" w:firstLine="0"/>
      </w:pPr>
      <w:hyperlink r:id="rId12" w:history="1">
        <w:r w:rsidR="009E2174" w:rsidRPr="00443E10">
          <w:rPr>
            <w:rStyle w:val="Hyperlink"/>
          </w:rPr>
          <w:t>H</w:t>
        </w:r>
        <w:r w:rsidR="006D7D88" w:rsidRPr="00443E10">
          <w:rPr>
            <w:rStyle w:val="Hyperlink"/>
          </w:rPr>
          <w:t xml:space="preserve">uman </w:t>
        </w:r>
        <w:r w:rsidR="009E2174" w:rsidRPr="00443E10">
          <w:rPr>
            <w:rStyle w:val="Hyperlink"/>
          </w:rPr>
          <w:t>R</w:t>
        </w:r>
        <w:r w:rsidR="006D7D88" w:rsidRPr="00443E10">
          <w:rPr>
            <w:rStyle w:val="Hyperlink"/>
          </w:rPr>
          <w:t>ights</w:t>
        </w:r>
        <w:r w:rsidR="009E2174" w:rsidRPr="00443E10">
          <w:rPr>
            <w:rStyle w:val="Hyperlink"/>
          </w:rPr>
          <w:t xml:space="preserve"> Statement of Compatibility</w:t>
        </w:r>
      </w:hyperlink>
    </w:p>
    <w:p w14:paraId="285C9653" w14:textId="74C86F23" w:rsidR="00317B53" w:rsidRPr="00603231" w:rsidRDefault="000A61B3" w:rsidP="001B7842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425" w:right="6" w:firstLine="0"/>
      </w:pPr>
      <w:hyperlink r:id="rId13" w:history="1">
        <w:r w:rsidR="009E2174" w:rsidRPr="00443E10">
          <w:rPr>
            <w:rStyle w:val="Hyperlink"/>
          </w:rPr>
          <w:t>Stage 1 Rental Law Reform Decision Regulatory Impact Statemen</w:t>
        </w:r>
        <w:r w:rsidR="006D7D88" w:rsidRPr="00443E10">
          <w:rPr>
            <w:rStyle w:val="Hyperlink"/>
          </w:rPr>
          <w:t>t</w:t>
        </w:r>
      </w:hyperlink>
    </w:p>
    <w:p w14:paraId="285C9655" w14:textId="3FC12E9B" w:rsidR="00317B53" w:rsidRPr="00603231" w:rsidRDefault="000A61B3" w:rsidP="001B7842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425" w:right="6" w:firstLine="0"/>
      </w:pPr>
      <w:hyperlink r:id="rId14" w:history="1">
        <w:r w:rsidR="009E2174" w:rsidRPr="00F04A64">
          <w:rPr>
            <w:rStyle w:val="Hyperlink"/>
          </w:rPr>
          <w:t>Deloitte Access Economics report</w:t>
        </w:r>
      </w:hyperlink>
    </w:p>
    <w:sectPr w:rsidR="00317B53" w:rsidRPr="00603231" w:rsidSect="00194096">
      <w:headerReference w:type="default" r:id="rId15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7800" w14:textId="77777777" w:rsidR="008F49D4" w:rsidRDefault="008F49D4" w:rsidP="00762E9A">
      <w:r>
        <w:separator/>
      </w:r>
    </w:p>
  </w:endnote>
  <w:endnote w:type="continuationSeparator" w:id="0">
    <w:p w14:paraId="38F6C5E9" w14:textId="77777777" w:rsidR="008F49D4" w:rsidRDefault="008F49D4" w:rsidP="00762E9A">
      <w:r>
        <w:continuationSeparator/>
      </w:r>
    </w:p>
  </w:endnote>
  <w:endnote w:type="continuationNotice" w:id="1">
    <w:p w14:paraId="3C63E002" w14:textId="77777777" w:rsidR="00D65AAA" w:rsidRDefault="00D65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B585" w14:textId="77777777" w:rsidR="008F49D4" w:rsidRDefault="008F49D4" w:rsidP="00762E9A">
      <w:r>
        <w:separator/>
      </w:r>
    </w:p>
  </w:footnote>
  <w:footnote w:type="continuationSeparator" w:id="0">
    <w:p w14:paraId="6D5DA1AC" w14:textId="77777777" w:rsidR="008F49D4" w:rsidRDefault="008F49D4" w:rsidP="00762E9A">
      <w:r>
        <w:continuationSeparator/>
      </w:r>
    </w:p>
  </w:footnote>
  <w:footnote w:type="continuationNotice" w:id="1">
    <w:p w14:paraId="2463E69B" w14:textId="77777777" w:rsidR="00D65AAA" w:rsidRDefault="00D65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F089" w14:textId="77777777" w:rsidR="00762E9A" w:rsidRPr="00937A4A" w:rsidRDefault="00762E9A" w:rsidP="00762E9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6EBD688C" w14:textId="77777777" w:rsidR="00762E9A" w:rsidRPr="00937A4A" w:rsidRDefault="00762E9A" w:rsidP="00762E9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7360A636" w14:textId="30448192" w:rsidR="00762E9A" w:rsidRPr="00937A4A" w:rsidRDefault="00762E9A" w:rsidP="00762E9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71196F">
      <w:rPr>
        <w:b/>
      </w:rPr>
      <w:t>June 2021</w:t>
    </w:r>
  </w:p>
  <w:p w14:paraId="5DD5606C" w14:textId="52B7C11F" w:rsidR="00762E9A" w:rsidRDefault="0071196F" w:rsidP="00762E9A">
    <w:pPr>
      <w:pStyle w:val="Header"/>
      <w:spacing w:before="120"/>
      <w:rPr>
        <w:b/>
        <w:u w:val="single"/>
      </w:rPr>
    </w:pPr>
    <w:r>
      <w:rPr>
        <w:b/>
        <w:u w:val="single"/>
      </w:rPr>
      <w:t>Housing Legislation Amendment</w:t>
    </w:r>
    <w:r>
      <w:rPr>
        <w:b/>
        <w:spacing w:val="-1"/>
        <w:u w:val="single"/>
      </w:rPr>
      <w:t xml:space="preserve"> </w:t>
    </w:r>
    <w:r>
      <w:rPr>
        <w:b/>
        <w:u w:val="single"/>
      </w:rPr>
      <w:t>Bill</w:t>
    </w:r>
    <w:r>
      <w:rPr>
        <w:b/>
        <w:spacing w:val="-1"/>
        <w:u w:val="single"/>
      </w:rPr>
      <w:t xml:space="preserve"> </w:t>
    </w:r>
    <w:r>
      <w:rPr>
        <w:b/>
        <w:u w:val="single"/>
      </w:rPr>
      <w:t>2021</w:t>
    </w:r>
  </w:p>
  <w:p w14:paraId="5DE10459" w14:textId="7B6A75BA" w:rsidR="00762E9A" w:rsidRDefault="0071196F" w:rsidP="00762E9A">
    <w:pPr>
      <w:pStyle w:val="Header"/>
      <w:spacing w:before="120"/>
      <w:rPr>
        <w:b/>
        <w:u w:val="single"/>
      </w:rPr>
    </w:pPr>
    <w:r>
      <w:rPr>
        <w:b/>
        <w:u w:val="single"/>
      </w:rPr>
      <w:t>Minister for Communities and Housing, Minister for Digital Economy and Minister for</w:t>
    </w:r>
    <w:r w:rsidR="00976A85">
      <w:rPr>
        <w:b/>
        <w:u w:val="single"/>
      </w:rPr>
      <w:t xml:space="preserve"> </w:t>
    </w:r>
    <w:r>
      <w:rPr>
        <w:b/>
        <w:spacing w:val="-59"/>
      </w:rPr>
      <w:t xml:space="preserve"> </w:t>
    </w:r>
    <w:r>
      <w:rPr>
        <w:b/>
        <w:u w:val="single"/>
      </w:rPr>
      <w:t>the</w:t>
    </w:r>
    <w:r>
      <w:rPr>
        <w:b/>
        <w:spacing w:val="-2"/>
        <w:u w:val="single"/>
      </w:rPr>
      <w:t xml:space="preserve"> </w:t>
    </w:r>
    <w:r>
      <w:rPr>
        <w:b/>
        <w:u w:val="single"/>
      </w:rPr>
      <w:t>Arts</w:t>
    </w:r>
  </w:p>
  <w:p w14:paraId="1C70A081" w14:textId="77777777" w:rsidR="00762E9A" w:rsidRDefault="00762E9A" w:rsidP="00762E9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083"/>
    <w:multiLevelType w:val="hybridMultilevel"/>
    <w:tmpl w:val="E272ED9A"/>
    <w:lvl w:ilvl="0" w:tplc="E5163F20">
      <w:start w:val="1"/>
      <w:numFmt w:val="decimal"/>
      <w:lvlText w:val="%1."/>
      <w:lvlJc w:val="left"/>
      <w:pPr>
        <w:ind w:left="68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AU" w:eastAsia="en-US" w:bidi="ar-SA"/>
      </w:rPr>
    </w:lvl>
    <w:lvl w:ilvl="1" w:tplc="330EF1E0">
      <w:numFmt w:val="bullet"/>
      <w:lvlText w:val=""/>
      <w:lvlJc w:val="left"/>
      <w:pPr>
        <w:ind w:left="1136" w:hanging="45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AU" w:eastAsia="en-US" w:bidi="ar-SA"/>
      </w:rPr>
    </w:lvl>
    <w:lvl w:ilvl="2" w:tplc="E7100E28">
      <w:numFmt w:val="bullet"/>
      <w:lvlText w:val="•"/>
      <w:lvlJc w:val="left"/>
      <w:pPr>
        <w:ind w:left="2082" w:hanging="454"/>
      </w:pPr>
      <w:rPr>
        <w:rFonts w:hint="default"/>
        <w:lang w:val="en-AU" w:eastAsia="en-US" w:bidi="ar-SA"/>
      </w:rPr>
    </w:lvl>
    <w:lvl w:ilvl="3" w:tplc="5B9001DE">
      <w:numFmt w:val="bullet"/>
      <w:lvlText w:val="•"/>
      <w:lvlJc w:val="left"/>
      <w:pPr>
        <w:ind w:left="3025" w:hanging="454"/>
      </w:pPr>
      <w:rPr>
        <w:rFonts w:hint="default"/>
        <w:lang w:val="en-AU" w:eastAsia="en-US" w:bidi="ar-SA"/>
      </w:rPr>
    </w:lvl>
    <w:lvl w:ilvl="4" w:tplc="223CCFC0">
      <w:numFmt w:val="bullet"/>
      <w:lvlText w:val="•"/>
      <w:lvlJc w:val="left"/>
      <w:pPr>
        <w:ind w:left="3968" w:hanging="454"/>
      </w:pPr>
      <w:rPr>
        <w:rFonts w:hint="default"/>
        <w:lang w:val="en-AU" w:eastAsia="en-US" w:bidi="ar-SA"/>
      </w:rPr>
    </w:lvl>
    <w:lvl w:ilvl="5" w:tplc="B47ED12C">
      <w:numFmt w:val="bullet"/>
      <w:lvlText w:val="•"/>
      <w:lvlJc w:val="left"/>
      <w:pPr>
        <w:ind w:left="4911" w:hanging="454"/>
      </w:pPr>
      <w:rPr>
        <w:rFonts w:hint="default"/>
        <w:lang w:val="en-AU" w:eastAsia="en-US" w:bidi="ar-SA"/>
      </w:rPr>
    </w:lvl>
    <w:lvl w:ilvl="6" w:tplc="11D69130">
      <w:numFmt w:val="bullet"/>
      <w:lvlText w:val="•"/>
      <w:lvlJc w:val="left"/>
      <w:pPr>
        <w:ind w:left="5854" w:hanging="454"/>
      </w:pPr>
      <w:rPr>
        <w:rFonts w:hint="default"/>
        <w:lang w:val="en-AU" w:eastAsia="en-US" w:bidi="ar-SA"/>
      </w:rPr>
    </w:lvl>
    <w:lvl w:ilvl="7" w:tplc="4FDAF39C">
      <w:numFmt w:val="bullet"/>
      <w:lvlText w:val="•"/>
      <w:lvlJc w:val="left"/>
      <w:pPr>
        <w:ind w:left="6797" w:hanging="454"/>
      </w:pPr>
      <w:rPr>
        <w:rFonts w:hint="default"/>
        <w:lang w:val="en-AU" w:eastAsia="en-US" w:bidi="ar-SA"/>
      </w:rPr>
    </w:lvl>
    <w:lvl w:ilvl="8" w:tplc="61209630">
      <w:numFmt w:val="bullet"/>
      <w:lvlText w:val="•"/>
      <w:lvlJc w:val="left"/>
      <w:pPr>
        <w:ind w:left="7740" w:hanging="454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53"/>
    <w:rsid w:val="00057E4B"/>
    <w:rsid w:val="000A61B3"/>
    <w:rsid w:val="000B5563"/>
    <w:rsid w:val="00101CB3"/>
    <w:rsid w:val="001255F6"/>
    <w:rsid w:val="00137DF3"/>
    <w:rsid w:val="00194096"/>
    <w:rsid w:val="00194FE9"/>
    <w:rsid w:val="001B7842"/>
    <w:rsid w:val="001E041A"/>
    <w:rsid w:val="002752A4"/>
    <w:rsid w:val="00306795"/>
    <w:rsid w:val="00317B53"/>
    <w:rsid w:val="00331B75"/>
    <w:rsid w:val="00413009"/>
    <w:rsid w:val="004217A6"/>
    <w:rsid w:val="00443E10"/>
    <w:rsid w:val="004F510B"/>
    <w:rsid w:val="00603231"/>
    <w:rsid w:val="006324E1"/>
    <w:rsid w:val="006D7D88"/>
    <w:rsid w:val="00705AF5"/>
    <w:rsid w:val="0071196F"/>
    <w:rsid w:val="00743D62"/>
    <w:rsid w:val="00762E9A"/>
    <w:rsid w:val="00773A17"/>
    <w:rsid w:val="00783B07"/>
    <w:rsid w:val="007914C9"/>
    <w:rsid w:val="00811CEF"/>
    <w:rsid w:val="00870490"/>
    <w:rsid w:val="008F49D4"/>
    <w:rsid w:val="00942772"/>
    <w:rsid w:val="00976A85"/>
    <w:rsid w:val="00996F68"/>
    <w:rsid w:val="009A5619"/>
    <w:rsid w:val="009E2174"/>
    <w:rsid w:val="00A63D9F"/>
    <w:rsid w:val="00B31DC5"/>
    <w:rsid w:val="00B423B4"/>
    <w:rsid w:val="00BC011E"/>
    <w:rsid w:val="00C015F0"/>
    <w:rsid w:val="00C151BB"/>
    <w:rsid w:val="00C32719"/>
    <w:rsid w:val="00C96494"/>
    <w:rsid w:val="00D65AAA"/>
    <w:rsid w:val="00D8611B"/>
    <w:rsid w:val="00DB7669"/>
    <w:rsid w:val="00DC7801"/>
    <w:rsid w:val="00DE40A7"/>
    <w:rsid w:val="00F04A64"/>
    <w:rsid w:val="00F14A89"/>
    <w:rsid w:val="00F62C6F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C9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1"/>
      <w:ind w:left="679" w:right="71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06"/>
      <w:ind w:left="110" w:right="145" w:hanging="3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136" w:hanging="45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2E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E9A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62E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E9A"/>
    <w:rPr>
      <w:rFonts w:ascii="Arial" w:eastAsia="Arial" w:hAnsi="Arial" w:cs="Arial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62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C6F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C6F"/>
    <w:rPr>
      <w:rFonts w:ascii="Arial" w:eastAsia="Arial" w:hAnsi="Arial" w:cs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6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619"/>
    <w:rPr>
      <w:rFonts w:ascii="Segoe UI" w:eastAsia="Arial" w:hAnsi="Segoe UI" w:cs="Segoe UI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6D7D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17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ttachments/RI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SoC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Attachments/Analys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36421-0972-4B5C-B82F-88A1B0300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72222-F964-473D-AE4F-46950132DE0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8ed82f2-f7bd-423c-8698-5e132afe9245"/>
    <ds:schemaRef ds:uri="http://schemas.microsoft.com/office/infopath/2007/PartnerControls"/>
    <ds:schemaRef ds:uri="http://purl.org/dc/terms/"/>
    <ds:schemaRef ds:uri="http://schemas.microsoft.com/office/2006/metadata/properties"/>
    <ds:schemaRef ds:uri="63e311de-a790-43ff-be63-577c26c750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D4083E-CBD1-43E0-810D-F422A8559A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</Words>
  <Characters>1227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CAB—Proactive Release Summary</vt:lpstr>
    </vt:vector>
  </TitlesOfParts>
  <Company/>
  <LinksUpToDate>false</LinksUpToDate>
  <CharactersWithSpaces>1417</CharactersWithSpaces>
  <SharedDoc>false</SharedDoc>
  <HyperlinkBase>https://www.cabinet.qld.gov.au/documents/2021/Jun/HLAB/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CAB—Proactive Release Summary</dc:title>
  <dc:creator/>
  <cp:keywords>cabinet; proactive release</cp:keywords>
  <dc:description/>
  <cp:lastModifiedBy/>
  <cp:revision>16</cp:revision>
  <cp:lastPrinted>2021-08-24T00:49:00Z</cp:lastPrinted>
  <dcterms:created xsi:type="dcterms:W3CDTF">2021-08-17T02:58:00Z</dcterms:created>
  <dcterms:modified xsi:type="dcterms:W3CDTF">2021-10-07T00:41:00Z</dcterms:modified>
  <cp:category>Housing,Legislation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2021-05-27T00:00:00Z</vt:filetime>
  </property>
  <property fmtid="{D5CDD505-2E9C-101B-9397-08002B2CF9AE}" pid="5" name="ContentTypeId">
    <vt:lpwstr>0x010100DDE14CFDD070B24F85F5DE43654FF01E</vt:lpwstr>
  </property>
</Properties>
</file>